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15"/>
        <w:tblW w:w="11085" w:type="dxa"/>
        <w:tblLook w:val="04A0" w:firstRow="1" w:lastRow="0" w:firstColumn="1" w:lastColumn="0" w:noHBand="0" w:noVBand="1"/>
      </w:tblPr>
      <w:tblGrid>
        <w:gridCol w:w="5031"/>
        <w:gridCol w:w="6054"/>
      </w:tblGrid>
      <w:tr w:rsidR="006937BE" w:rsidTr="00E64B03">
        <w:trPr>
          <w:trHeight w:val="772"/>
        </w:trPr>
        <w:tc>
          <w:tcPr>
            <w:tcW w:w="5031" w:type="dxa"/>
            <w:shd w:val="clear" w:color="auto" w:fill="5B9BD5" w:themeFill="accent1"/>
          </w:tcPr>
          <w:p w:rsidR="006937BE" w:rsidRPr="00E64B03" w:rsidRDefault="006937BE" w:rsidP="006937BE">
            <w:pPr>
              <w:rPr>
                <w:b/>
                <w:sz w:val="28"/>
                <w:szCs w:val="28"/>
              </w:rPr>
            </w:pPr>
            <w:r w:rsidRPr="00E64B03">
              <w:rPr>
                <w:b/>
                <w:sz w:val="28"/>
                <w:szCs w:val="28"/>
              </w:rPr>
              <w:softHyphen/>
            </w:r>
            <w:r w:rsidRPr="00E64B03">
              <w:rPr>
                <w:b/>
                <w:sz w:val="28"/>
                <w:szCs w:val="28"/>
              </w:rPr>
              <w:br/>
              <w:t>Positive Psychology Wellbeing Model</w:t>
            </w:r>
          </w:p>
          <w:p w:rsidR="00E64B03" w:rsidRPr="00E64B03" w:rsidRDefault="00E64B03" w:rsidP="00E64B03">
            <w:pPr>
              <w:jc w:val="center"/>
              <w:rPr>
                <w:b/>
                <w:sz w:val="28"/>
                <w:szCs w:val="28"/>
              </w:rPr>
            </w:pPr>
            <w:r w:rsidRPr="00E64B03">
              <w:rPr>
                <w:b/>
                <w:sz w:val="28"/>
                <w:szCs w:val="28"/>
              </w:rPr>
              <w:t>POSITIVE EDUCATION</w:t>
            </w:r>
          </w:p>
        </w:tc>
        <w:tc>
          <w:tcPr>
            <w:tcW w:w="6054" w:type="dxa"/>
            <w:shd w:val="clear" w:color="auto" w:fill="92D050"/>
          </w:tcPr>
          <w:p w:rsidR="006937BE" w:rsidRPr="00E64B03" w:rsidRDefault="006937BE" w:rsidP="006937BE">
            <w:pPr>
              <w:jc w:val="center"/>
              <w:rPr>
                <w:b/>
                <w:sz w:val="28"/>
                <w:szCs w:val="28"/>
              </w:rPr>
            </w:pPr>
          </w:p>
          <w:p w:rsidR="006937BE" w:rsidRPr="00E64B03" w:rsidRDefault="00E64B03" w:rsidP="006937BE">
            <w:pPr>
              <w:jc w:val="center"/>
              <w:rPr>
                <w:b/>
                <w:sz w:val="28"/>
                <w:szCs w:val="28"/>
              </w:rPr>
            </w:pPr>
            <w:r w:rsidRPr="00E64B03">
              <w:rPr>
                <w:b/>
                <w:sz w:val="28"/>
                <w:szCs w:val="28"/>
              </w:rPr>
              <w:t>DOE</w:t>
            </w:r>
            <w:r w:rsidR="006937BE" w:rsidRPr="00E64B03">
              <w:rPr>
                <w:b/>
                <w:sz w:val="28"/>
                <w:szCs w:val="28"/>
              </w:rPr>
              <w:t xml:space="preserve"> The  Wellbeing Framework For Schools</w:t>
            </w:r>
          </w:p>
        </w:tc>
      </w:tr>
      <w:tr w:rsidR="006937BE" w:rsidTr="00E64B03">
        <w:trPr>
          <w:trHeight w:val="1051"/>
        </w:trPr>
        <w:tc>
          <w:tcPr>
            <w:tcW w:w="5031" w:type="dxa"/>
            <w:vAlign w:val="center"/>
          </w:tcPr>
          <w:p w:rsidR="006937BE" w:rsidRPr="006937BE" w:rsidRDefault="006937BE" w:rsidP="00E64B03">
            <w:pPr>
              <w:rPr>
                <w:b/>
                <w:sz w:val="28"/>
                <w:szCs w:val="28"/>
                <w:highlight w:val="lightGray"/>
              </w:rPr>
            </w:pPr>
            <w:bookmarkStart w:id="0" w:name="_GoBack"/>
            <w:r w:rsidRPr="006937BE">
              <w:rPr>
                <w:b/>
                <w:sz w:val="28"/>
                <w:szCs w:val="28"/>
                <w:highlight w:val="lightGray"/>
              </w:rPr>
              <w:t>P –Positive Emotions</w:t>
            </w:r>
          </w:p>
        </w:tc>
        <w:tc>
          <w:tcPr>
            <w:tcW w:w="6054" w:type="dxa"/>
          </w:tcPr>
          <w:p w:rsidR="006937BE" w:rsidRPr="00E64B03" w:rsidRDefault="006937BE" w:rsidP="00E64B03">
            <w:pPr>
              <w:spacing w:after="160" w:line="259" w:lineRule="auto"/>
              <w:ind w:left="720"/>
              <w:rPr>
                <w:sz w:val="24"/>
                <w:szCs w:val="24"/>
              </w:rPr>
            </w:pPr>
            <w:r w:rsidRPr="00E64B03">
              <w:rPr>
                <w:sz w:val="24"/>
                <w:szCs w:val="24"/>
              </w:rPr>
              <w:t xml:space="preserve">Enjoyment, </w:t>
            </w:r>
            <w:r w:rsidRPr="00E64B03">
              <w:rPr>
                <w:sz w:val="24"/>
                <w:szCs w:val="24"/>
                <w:highlight w:val="lightGray"/>
              </w:rPr>
              <w:t>or</w:t>
            </w:r>
            <w:r w:rsidRPr="00E64B03">
              <w:rPr>
                <w:b/>
                <w:i/>
                <w:sz w:val="24"/>
                <w:szCs w:val="24"/>
                <w:highlight w:val="lightGray"/>
              </w:rPr>
              <w:t xml:space="preserve"> the presence of positive emotion, can increase a student’s wellbeing.</w:t>
            </w:r>
            <w:r w:rsidRPr="00E64B03">
              <w:rPr>
                <w:i/>
                <w:sz w:val="24"/>
                <w:szCs w:val="24"/>
              </w:rPr>
              <w:t xml:space="preserve"> Learning occurs more effectively in the context of positive emotions.</w:t>
            </w:r>
          </w:p>
        </w:tc>
      </w:tr>
      <w:tr w:rsidR="006937BE" w:rsidTr="00E64B03">
        <w:trPr>
          <w:trHeight w:val="1291"/>
        </w:trPr>
        <w:tc>
          <w:tcPr>
            <w:tcW w:w="5031" w:type="dxa"/>
            <w:vAlign w:val="center"/>
          </w:tcPr>
          <w:p w:rsidR="006937BE" w:rsidRPr="006937BE" w:rsidRDefault="006937BE" w:rsidP="00E64B03">
            <w:pPr>
              <w:rPr>
                <w:b/>
                <w:sz w:val="28"/>
                <w:szCs w:val="28"/>
              </w:rPr>
            </w:pPr>
            <w:r w:rsidRPr="006937BE">
              <w:rPr>
                <w:b/>
                <w:sz w:val="28"/>
                <w:szCs w:val="28"/>
                <w:highlight w:val="yellow"/>
              </w:rPr>
              <w:t>E – ENGAGEMENT</w:t>
            </w:r>
          </w:p>
        </w:tc>
        <w:tc>
          <w:tcPr>
            <w:tcW w:w="6054" w:type="dxa"/>
          </w:tcPr>
          <w:p w:rsidR="006937BE" w:rsidRPr="00E64B03" w:rsidRDefault="006937BE" w:rsidP="00E64B03">
            <w:pP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  <w:r w:rsidRPr="00E64B03">
              <w:rPr>
                <w:sz w:val="24"/>
                <w:szCs w:val="24"/>
              </w:rPr>
              <w:t>When students have choice and</w:t>
            </w:r>
            <w:r w:rsidRPr="00E64B03">
              <w:rPr>
                <w:b/>
                <w:sz w:val="24"/>
                <w:szCs w:val="24"/>
              </w:rPr>
              <w:t xml:space="preserve"> </w:t>
            </w:r>
            <w:r w:rsidRPr="00E64B03">
              <w:rPr>
                <w:b/>
                <w:sz w:val="24"/>
                <w:szCs w:val="24"/>
                <w:highlight w:val="yellow"/>
              </w:rPr>
              <w:t>opportunities to engage in activities that are of interest and value to them, their wellbeing is enhanced.</w:t>
            </w:r>
          </w:p>
        </w:tc>
      </w:tr>
      <w:tr w:rsidR="006937BE" w:rsidTr="00E64B03">
        <w:trPr>
          <w:trHeight w:val="1475"/>
        </w:trPr>
        <w:tc>
          <w:tcPr>
            <w:tcW w:w="5031" w:type="dxa"/>
            <w:vAlign w:val="center"/>
          </w:tcPr>
          <w:p w:rsidR="006937BE" w:rsidRPr="006937BE" w:rsidRDefault="006937BE" w:rsidP="00E64B03">
            <w:pPr>
              <w:rPr>
                <w:b/>
                <w:sz w:val="28"/>
                <w:szCs w:val="28"/>
              </w:rPr>
            </w:pPr>
            <w:r w:rsidRPr="006937BE">
              <w:rPr>
                <w:b/>
                <w:sz w:val="28"/>
                <w:szCs w:val="28"/>
                <w:highlight w:val="green"/>
              </w:rPr>
              <w:t>R  - RELATIONSHIPS</w:t>
            </w:r>
          </w:p>
        </w:tc>
        <w:tc>
          <w:tcPr>
            <w:tcW w:w="6054" w:type="dxa"/>
          </w:tcPr>
          <w:p w:rsidR="006937BE" w:rsidRPr="00E64B03" w:rsidRDefault="006937BE" w:rsidP="00E64B03">
            <w:pPr>
              <w:ind w:left="720"/>
              <w:rPr>
                <w:b/>
                <w:i/>
                <w:sz w:val="24"/>
                <w:szCs w:val="24"/>
              </w:rPr>
            </w:pPr>
            <w:r w:rsidRPr="00E64B03">
              <w:rPr>
                <w:b/>
                <w:i/>
                <w:sz w:val="24"/>
                <w:szCs w:val="24"/>
                <w:highlight w:val="green"/>
              </w:rPr>
              <w:t>Positive relationships foster connectedness and feelings of belonging and are essential for wellbeing</w:t>
            </w:r>
            <w:r w:rsidRPr="00E64B03">
              <w:rPr>
                <w:i/>
                <w:sz w:val="24"/>
                <w:szCs w:val="24"/>
              </w:rPr>
              <w:t>; help us to build social and emotional skills and in turn nurture other positive, caring and respectful relationships</w:t>
            </w:r>
          </w:p>
        </w:tc>
      </w:tr>
      <w:tr w:rsidR="006937BE" w:rsidTr="00E64B03">
        <w:trPr>
          <w:trHeight w:val="878"/>
        </w:trPr>
        <w:tc>
          <w:tcPr>
            <w:tcW w:w="5031" w:type="dxa"/>
            <w:vAlign w:val="center"/>
          </w:tcPr>
          <w:p w:rsidR="006937BE" w:rsidRPr="006937BE" w:rsidRDefault="006937BE" w:rsidP="00E64B03">
            <w:pPr>
              <w:rPr>
                <w:b/>
                <w:sz w:val="28"/>
                <w:szCs w:val="28"/>
              </w:rPr>
            </w:pPr>
            <w:r w:rsidRPr="006937BE">
              <w:rPr>
                <w:b/>
                <w:sz w:val="28"/>
                <w:szCs w:val="28"/>
                <w:highlight w:val="magenta"/>
              </w:rPr>
              <w:t>M – MEANING</w:t>
            </w:r>
          </w:p>
        </w:tc>
        <w:tc>
          <w:tcPr>
            <w:tcW w:w="6054" w:type="dxa"/>
          </w:tcPr>
          <w:p w:rsidR="006937BE" w:rsidRPr="00E64B03" w:rsidRDefault="006937BE" w:rsidP="00E64B03">
            <w:pPr>
              <w:ind w:left="720"/>
              <w:rPr>
                <w:sz w:val="24"/>
                <w:szCs w:val="24"/>
                <w:highlight w:val="magenta"/>
              </w:rPr>
            </w:pPr>
            <w:r w:rsidRPr="00E64B03">
              <w:rPr>
                <w:b/>
                <w:sz w:val="24"/>
                <w:szCs w:val="24"/>
                <w:highlight w:val="magenta"/>
              </w:rPr>
              <w:t>Development contributes to social competence, self-esteem</w:t>
            </w:r>
            <w:r w:rsidRPr="00E64B03">
              <w:rPr>
                <w:sz w:val="24"/>
                <w:szCs w:val="24"/>
                <w:highlight w:val="magenta"/>
              </w:rPr>
              <w:t xml:space="preserve"> and a </w:t>
            </w:r>
            <w:r w:rsidRPr="00E64B03">
              <w:rPr>
                <w:b/>
                <w:i/>
                <w:sz w:val="24"/>
                <w:szCs w:val="24"/>
                <w:highlight w:val="magenta"/>
              </w:rPr>
              <w:t>student’s sense of meaning and purpose.</w:t>
            </w:r>
          </w:p>
          <w:p w:rsidR="006937BE" w:rsidRPr="00E64B03" w:rsidRDefault="006937BE" w:rsidP="00E64B03">
            <w:pPr>
              <w:ind w:left="720"/>
              <w:rPr>
                <w:sz w:val="24"/>
                <w:szCs w:val="24"/>
              </w:rPr>
            </w:pPr>
          </w:p>
        </w:tc>
      </w:tr>
      <w:tr w:rsidR="006937BE" w:rsidTr="00E64B03">
        <w:trPr>
          <w:trHeight w:val="1491"/>
        </w:trPr>
        <w:tc>
          <w:tcPr>
            <w:tcW w:w="5031" w:type="dxa"/>
            <w:vAlign w:val="center"/>
          </w:tcPr>
          <w:p w:rsidR="006937BE" w:rsidRPr="006937BE" w:rsidRDefault="006937BE" w:rsidP="00E64B03">
            <w:pPr>
              <w:rPr>
                <w:b/>
                <w:sz w:val="28"/>
                <w:szCs w:val="28"/>
                <w:highlight w:val="darkCyan"/>
              </w:rPr>
            </w:pPr>
            <w:r w:rsidRPr="006937BE">
              <w:rPr>
                <w:b/>
                <w:sz w:val="28"/>
                <w:szCs w:val="28"/>
                <w:highlight w:val="cyan"/>
              </w:rPr>
              <w:t>A  - ACHEVEMENT</w:t>
            </w:r>
          </w:p>
        </w:tc>
        <w:tc>
          <w:tcPr>
            <w:tcW w:w="6054" w:type="dxa"/>
          </w:tcPr>
          <w:p w:rsidR="006937BE" w:rsidRPr="00E64B03" w:rsidRDefault="006937BE" w:rsidP="00E64B03">
            <w:pPr>
              <w:ind w:left="720"/>
              <w:rPr>
                <w:b/>
                <w:i/>
                <w:sz w:val="24"/>
                <w:szCs w:val="24"/>
              </w:rPr>
            </w:pPr>
            <w:r w:rsidRPr="00E64B03">
              <w:rPr>
                <w:b/>
                <w:i/>
                <w:sz w:val="24"/>
                <w:szCs w:val="24"/>
                <w:highlight w:val="cyan"/>
              </w:rPr>
              <w:t>Achievement contributes positively to a student’s wellbeing, and can contribute to a student’s confidence and self-esteem</w:t>
            </w:r>
            <w:r w:rsidRPr="00E64B03">
              <w:rPr>
                <w:sz w:val="24"/>
                <w:szCs w:val="24"/>
              </w:rPr>
              <w:t xml:space="preserve">. </w:t>
            </w:r>
            <w:r w:rsidRPr="00E64B03">
              <w:rPr>
                <w:i/>
                <w:sz w:val="24"/>
                <w:szCs w:val="24"/>
              </w:rPr>
              <w:t>Achievement fosters positive emotions which can build further engagement and effort.</w:t>
            </w:r>
          </w:p>
        </w:tc>
      </w:tr>
      <w:tr w:rsidR="006937BE" w:rsidTr="00E64B03">
        <w:trPr>
          <w:trHeight w:val="1176"/>
        </w:trPr>
        <w:tc>
          <w:tcPr>
            <w:tcW w:w="5031" w:type="dxa"/>
            <w:vAlign w:val="center"/>
          </w:tcPr>
          <w:p w:rsidR="006937BE" w:rsidRPr="006937BE" w:rsidRDefault="006937BE" w:rsidP="00E64B03">
            <w:pPr>
              <w:rPr>
                <w:b/>
                <w:sz w:val="28"/>
                <w:szCs w:val="28"/>
              </w:rPr>
            </w:pPr>
            <w:r w:rsidRPr="006937BE">
              <w:rPr>
                <w:b/>
                <w:sz w:val="28"/>
                <w:szCs w:val="28"/>
                <w:highlight w:val="darkCyan"/>
              </w:rPr>
              <w:t>H – HEALTH</w:t>
            </w:r>
          </w:p>
        </w:tc>
        <w:tc>
          <w:tcPr>
            <w:tcW w:w="6054" w:type="dxa"/>
          </w:tcPr>
          <w:p w:rsidR="006937BE" w:rsidRPr="00E64B03" w:rsidRDefault="006937BE" w:rsidP="00E64B03">
            <w:pPr>
              <w:ind w:left="720"/>
              <w:rPr>
                <w:sz w:val="24"/>
                <w:szCs w:val="24"/>
              </w:rPr>
            </w:pPr>
            <w:r w:rsidRPr="00E64B03">
              <w:rPr>
                <w:b/>
                <w:i/>
                <w:sz w:val="24"/>
                <w:szCs w:val="24"/>
                <w:highlight w:val="darkCyan"/>
              </w:rPr>
              <w:t>Feeling physically safe and being in good physical health contributes to wellbeing</w:t>
            </w:r>
            <w:r w:rsidRPr="00E64B03">
              <w:rPr>
                <w:sz w:val="24"/>
                <w:szCs w:val="24"/>
                <w:highlight w:val="darkCyan"/>
              </w:rPr>
              <w:t>.</w:t>
            </w:r>
            <w:r w:rsidRPr="00E64B03">
              <w:rPr>
                <w:sz w:val="24"/>
                <w:szCs w:val="24"/>
              </w:rPr>
              <w:t xml:space="preserve"> Environments that provide for safety, and support good health, optimise learning experiences.</w:t>
            </w:r>
          </w:p>
        </w:tc>
      </w:tr>
      <w:bookmarkEnd w:id="0"/>
    </w:tbl>
    <w:p w:rsidR="001D0B0D" w:rsidRDefault="001D0B0D" w:rsidP="00E64B03"/>
    <w:sectPr w:rsidR="001D0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218"/>
    <w:multiLevelType w:val="hybridMultilevel"/>
    <w:tmpl w:val="ED0C6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C58CD"/>
    <w:multiLevelType w:val="hybridMultilevel"/>
    <w:tmpl w:val="09EE670E"/>
    <w:lvl w:ilvl="0" w:tplc="EA64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6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CF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8B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C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A7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46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4F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40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2F59B1"/>
    <w:multiLevelType w:val="hybridMultilevel"/>
    <w:tmpl w:val="59BE24B2"/>
    <w:lvl w:ilvl="0" w:tplc="3342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6D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86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23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4E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6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AF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82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AB6188"/>
    <w:multiLevelType w:val="hybridMultilevel"/>
    <w:tmpl w:val="CBE22654"/>
    <w:lvl w:ilvl="0" w:tplc="EFA08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C5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2F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43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AE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E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CC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0A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3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5B1FAE"/>
    <w:multiLevelType w:val="hybridMultilevel"/>
    <w:tmpl w:val="FAEE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9622B"/>
    <w:multiLevelType w:val="hybridMultilevel"/>
    <w:tmpl w:val="EAE4D94C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E"/>
    <w:rsid w:val="001D0B0D"/>
    <w:rsid w:val="006937BE"/>
    <w:rsid w:val="00A5088A"/>
    <w:rsid w:val="00E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0944"/>
  <w15:chartTrackingRefBased/>
  <w15:docId w15:val="{8E740BA5-31CC-40F3-A2E4-5EB4EC6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Brzozowska</dc:creator>
  <cp:keywords/>
  <dc:description/>
  <cp:lastModifiedBy>Eva Brzozowska</cp:lastModifiedBy>
  <cp:revision>2</cp:revision>
  <dcterms:created xsi:type="dcterms:W3CDTF">2020-11-12T21:53:00Z</dcterms:created>
  <dcterms:modified xsi:type="dcterms:W3CDTF">2020-11-12T21:53:00Z</dcterms:modified>
</cp:coreProperties>
</file>